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keepNext w:val="true"/>
        <w:widowControl/>
        <w:bidi w:val="0"/>
        <w:spacing w:lineRule="auto" w:line="259" w:before="240" w:after="120"/>
        <w:ind w:left="0" w:right="0" w:hanging="0"/>
        <w:jc w:val="left"/>
        <w:rPr>
          <w:rFonts w:ascii="Open Sans" w:hAnsi="Open Sans"/>
        </w:rPr>
      </w:pPr>
      <w:r>
        <w:rPr>
          <w:rFonts w:ascii="Open Sans" w:hAnsi="Open Sans"/>
        </w:rPr>
        <w:t>Справочная информация</w:t>
      </w:r>
    </w:p>
    <w:p>
      <w:pPr>
        <w:pStyle w:val="3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 (ПГНИУ)</w:t>
      </w:r>
    </w:p>
    <w:p>
      <w:pPr>
        <w:pStyle w:val="Normal"/>
        <w:spacing w:lineRule="auto" w:line="240"/>
        <w:ind w:hanging="0"/>
        <w:rPr>
          <w:rFonts w:ascii="Open Sans" w:hAnsi="Open Sans"/>
        </w:rPr>
      </w:pPr>
      <w:r>
        <w:rPr>
          <w:rFonts w:ascii="Open Sans" w:hAnsi="Open Sans"/>
          <w:sz w:val="24"/>
        </w:rPr>
        <w:t>О</w:t>
      </w:r>
      <w:r>
        <w:rPr>
          <w:rFonts w:ascii="Open Sans" w:hAnsi="Open Sans"/>
        </w:rPr>
        <w:t xml:space="preserve">снован в 1916 г. </w:t>
      </w:r>
    </w:p>
    <w:p>
      <w:pPr>
        <w:pStyle w:val="Normal"/>
        <w:spacing w:lineRule="auto" w:line="240"/>
        <w:ind w:hanging="0"/>
        <w:rPr>
          <w:rFonts w:ascii="Open Sans" w:hAnsi="Open Sans"/>
        </w:rPr>
      </w:pPr>
      <w:r>
        <w:rPr>
          <w:rFonts w:ascii="Open Sans" w:hAnsi="Open Sans"/>
        </w:rPr>
        <w:t>Ректор: Игорь Юрьевич Макарихин, доктор физико-математических наук, доцент.</w:t>
      </w:r>
    </w:p>
    <w:p>
      <w:pPr>
        <w:pStyle w:val="Normal"/>
        <w:spacing w:lineRule="auto" w:line="240"/>
        <w:ind w:hanging="0"/>
        <w:rPr>
          <w:rFonts w:ascii="Open Sans" w:hAnsi="Open Sans"/>
        </w:rPr>
      </w:pPr>
      <w:r>
        <w:rPr>
          <w:rFonts w:ascii="Open Sans" w:hAnsi="Open Sans"/>
        </w:rPr>
        <w:t>Президент: Владимир Владимирович Маланин, доктор технических наук, профессор, заслуженный деятель науки РФ.</w:t>
      </w:r>
    </w:p>
    <w:p>
      <w:pPr>
        <w:pStyle w:val="Normal"/>
        <w:spacing w:lineRule="auto" w:line="240"/>
        <w:ind w:hanging="0"/>
        <w:rPr>
          <w:rFonts w:ascii="Open Sans" w:hAnsi="Open Sans"/>
        </w:rPr>
      </w:pPr>
      <w:r>
        <w:rPr>
          <w:rFonts w:eastAsia="Times New Roman" w:cs="" w:ascii="Open Sans" w:hAnsi="Open Sans" w:cstheme="minorBidi" w:eastAsiaTheme="minorHAnsi"/>
          <w:sz w:val="24"/>
          <w:highlight w:val="white"/>
        </w:rPr>
        <w:t xml:space="preserve">В состав вуза входят </w:t>
      </w:r>
      <w:r>
        <w:rPr>
          <w:rFonts w:ascii="Open Sans" w:hAnsi="Open Sans"/>
        </w:rPr>
        <w:t>12 факультетов и 7</w:t>
      </w:r>
      <w:r>
        <w:rPr>
          <w:rFonts w:ascii="Open Sans" w:hAnsi="Open Sans"/>
          <w:sz w:val="24"/>
        </w:rPr>
        <w:t>4</w:t>
      </w:r>
      <w:r>
        <w:rPr>
          <w:rFonts w:ascii="Open Sans" w:hAnsi="Open Sans"/>
        </w:rPr>
        <w:t xml:space="preserve"> кафедры, Колледж профессионального образования и филиал – Соликамский государственный педагогический институт. </w:t>
      </w:r>
      <w:r>
        <w:rPr>
          <w:rFonts w:ascii="Open Sans" w:hAnsi="Open Sans"/>
          <w:sz w:val="24"/>
        </w:rPr>
        <w:t>Д</w:t>
      </w:r>
      <w:r>
        <w:rPr>
          <w:rFonts w:ascii="Open Sans" w:hAnsi="Open Sans"/>
        </w:rPr>
        <w:t xml:space="preserve">ля проведения </w:t>
      </w:r>
      <w:r>
        <w:rPr>
          <w:rFonts w:ascii="Open Sans" w:hAnsi="Open Sans"/>
          <w:sz w:val="24"/>
        </w:rPr>
        <w:t>НИОКР</w:t>
      </w:r>
      <w:r>
        <w:rPr>
          <w:rFonts w:ascii="Open Sans" w:hAnsi="Open Sans"/>
        </w:rPr>
        <w:t xml:space="preserve">, учебных и производственных практик студентов </w:t>
      </w:r>
      <w:r>
        <w:rPr>
          <w:rFonts w:eastAsia="Times New Roman" w:cs="" w:ascii="Open Sans" w:hAnsi="Open Sans" w:cstheme="minorBidi" w:eastAsiaTheme="minorHAnsi"/>
          <w:sz w:val="24"/>
          <w:highlight w:val="white"/>
        </w:rPr>
        <w:t>используются</w:t>
      </w:r>
      <w:r>
        <w:rPr>
          <w:rFonts w:ascii="Open Sans" w:hAnsi="Open Sans"/>
        </w:rPr>
        <w:t xml:space="preserve"> Естественнонаучный институт, особое конструкторское бюро «Маяк», Ботанический сад ПГНИУ, учебно-научная база «Предуралье», а также учебно-опытное лесное хозяйство «Троицкое», расположенное в Челябинской области.</w:t>
      </w:r>
    </w:p>
    <w:p>
      <w:pPr>
        <w:pStyle w:val="Normal"/>
        <w:spacing w:lineRule="auto" w:line="240"/>
        <w:ind w:hanging="0"/>
        <w:rPr>
          <w:rFonts w:ascii="Open Sans" w:hAnsi="Open Sans"/>
        </w:rPr>
      </w:pPr>
      <w:r>
        <w:rPr>
          <w:rFonts w:ascii="Open Sans" w:hAnsi="Open Sans"/>
        </w:rPr>
        <w:t>На территории кампуса расположены 16 корпусов. Иногородние студенты и преподаватели проживают в 7 общежитиях.</w:t>
      </w:r>
    </w:p>
    <w:p>
      <w:pPr>
        <w:pStyle w:val="Normal"/>
        <w:spacing w:lineRule="auto" w:line="240"/>
        <w:ind w:hanging="0"/>
        <w:rPr>
          <w:rFonts w:ascii="Open Sans" w:hAnsi="Open Sans"/>
        </w:rPr>
      </w:pPr>
      <w:r>
        <w:rPr>
          <w:rFonts w:ascii="Open Sans" w:hAnsi="Open Sans"/>
        </w:rPr>
        <w:t>Научная библиотека университета одна из крупнейших в регионе и имеет более 1 млн 290 тыс. единиц хранения. Активно развивается сотрудничество с ведущими российскими и з</w:t>
      </w:r>
      <w:r>
        <w:rPr>
          <w:rFonts w:ascii="Open Sans" w:hAnsi="Open Sans"/>
          <w:sz w:val="24"/>
        </w:rPr>
        <w:t>а</w:t>
      </w:r>
      <w:r>
        <w:rPr>
          <w:rFonts w:ascii="Open Sans" w:hAnsi="Open Sans"/>
        </w:rPr>
        <w:t>р</w:t>
      </w:r>
      <w:r>
        <w:rPr>
          <w:rFonts w:ascii="Open Sans" w:hAnsi="Open Sans"/>
          <w:sz w:val="24"/>
        </w:rPr>
        <w:t>у</w:t>
      </w:r>
      <w:r>
        <w:rPr>
          <w:rFonts w:ascii="Open Sans" w:hAnsi="Open Sans"/>
        </w:rPr>
        <w:t>бежными электронными библиотечными системами и базами данных.</w:t>
      </w:r>
    </w:p>
    <w:p>
      <w:pPr>
        <w:pStyle w:val="Normal"/>
        <w:spacing w:lineRule="auto" w:line="240"/>
        <w:ind w:hanging="0"/>
        <w:rPr>
          <w:rFonts w:ascii="Open Sans" w:hAnsi="Open Sans"/>
        </w:rPr>
      </w:pPr>
      <w:r>
        <w:rPr>
          <w:rFonts w:ascii="Open Sans" w:hAnsi="Open Sans"/>
        </w:rPr>
        <w:t xml:space="preserve">В учебных и научных целях </w:t>
      </w:r>
      <w:r>
        <w:rPr>
          <w:rFonts w:ascii="Open Sans" w:hAnsi="Open Sans"/>
          <w:sz w:val="24"/>
        </w:rPr>
        <w:t xml:space="preserve">действуют </w:t>
      </w:r>
      <w:r>
        <w:rPr>
          <w:rFonts w:ascii="Open Sans" w:hAnsi="Open Sans"/>
        </w:rPr>
        <w:t xml:space="preserve">97 лабораторий, </w:t>
      </w:r>
      <w:r>
        <w:rPr>
          <w:rFonts w:ascii="Open Sans" w:hAnsi="Open Sans"/>
          <w:sz w:val="24"/>
        </w:rPr>
        <w:t>6</w:t>
      </w:r>
      <w:r>
        <w:rPr>
          <w:rFonts w:ascii="Open Sans" w:hAnsi="Open Sans"/>
        </w:rPr>
        <w:t xml:space="preserve"> научно-образовательных центров, </w:t>
      </w:r>
      <w:r>
        <w:rPr>
          <w:rFonts w:ascii="Open Sans" w:hAnsi="Open Sans"/>
          <w:sz w:val="24"/>
        </w:rPr>
        <w:t>при</w:t>
      </w:r>
      <w:r>
        <w:rPr>
          <w:rFonts w:ascii="Open Sans" w:hAnsi="Open Sans"/>
        </w:rPr>
        <w:t xml:space="preserve"> вузе </w:t>
      </w:r>
      <w:r>
        <w:rPr>
          <w:rFonts w:ascii="Open Sans" w:hAnsi="Open Sans"/>
          <w:sz w:val="24"/>
        </w:rPr>
        <w:t>создано</w:t>
      </w:r>
      <w:r>
        <w:rPr>
          <w:rFonts w:ascii="Open Sans" w:hAnsi="Open Sans"/>
        </w:rPr>
        <w:t xml:space="preserve"> 13 малых инновационных предприятий. </w:t>
      </w:r>
      <w:r>
        <w:rPr>
          <w:rFonts w:eastAsia="Times New Roman" w:cs="" w:ascii="Open Sans" w:hAnsi="Open Sans" w:cstheme="minorBidi" w:eastAsiaTheme="minorHAnsi"/>
          <w:sz w:val="24"/>
          <w:highlight w:val="white"/>
        </w:rPr>
        <w:t>На</w:t>
      </w:r>
      <w:r>
        <w:rPr>
          <w:rFonts w:ascii="Open Sans" w:hAnsi="Open Sans"/>
          <w:sz w:val="24"/>
        </w:rPr>
        <w:t xml:space="preserve"> 2019 г. ученые ПГНИУ выполняют исследования по 87 российским грантам. В 2006 г. вуз победил в конкурсе национального проекта «Образование». Модернизация парка научного оборудования и образовательных программ продолжилась в 2010 г. с присвоением Пермскому университету статуса «Национальный исследовательский университет». </w:t>
      </w:r>
      <w:r>
        <w:rPr>
          <w:rFonts w:eastAsia="Times New Roman" w:cs="" w:ascii="Open Sans" w:hAnsi="Open Sans" w:cstheme="minorBidi" w:eastAsiaTheme="minorHAnsi"/>
          <w:color w:val="auto"/>
          <w:kern w:val="0"/>
          <w:sz w:val="24"/>
          <w:szCs w:val="22"/>
          <w:lang w:val="ru-RU" w:eastAsia="en-US" w:bidi="ar-SA"/>
        </w:rPr>
        <w:t>С</w:t>
      </w:r>
      <w:r>
        <w:rPr>
          <w:rFonts w:ascii="Open Sans" w:hAnsi="Open Sans"/>
          <w:sz w:val="24"/>
        </w:rPr>
        <w:t xml:space="preserve"> 2019 г. ПГНИУ совместно с другими вузами, научными организациями и крупнейшими промпредприятиями Пермского края участвует в создании и развитии пермского НОЦа «Рациональное недропользование».</w:t>
      </w:r>
    </w:p>
    <w:p>
      <w:pPr>
        <w:pStyle w:val="Normal"/>
        <w:spacing w:lineRule="auto" w:line="240"/>
        <w:ind w:hanging="0"/>
        <w:rPr>
          <w:rFonts w:ascii="Open Sans" w:hAnsi="Open Sans"/>
        </w:rPr>
      </w:pPr>
      <w:r>
        <w:rPr>
          <w:rFonts w:ascii="Open Sans" w:hAnsi="Open Sans"/>
          <w:sz w:val="24"/>
        </w:rPr>
        <w:t>В 2019/2020 учебном году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sz w:val="24"/>
        </w:rPr>
        <w:t>программы</w:t>
      </w:r>
      <w:r>
        <w:rPr>
          <w:rFonts w:ascii="Open Sans" w:hAnsi="Open Sans"/>
        </w:rPr>
        <w:t xml:space="preserve"> бакалавриат</w:t>
      </w:r>
      <w:r>
        <w:rPr>
          <w:rFonts w:ascii="Open Sans" w:hAnsi="Open Sans"/>
          <w:sz w:val="24"/>
        </w:rPr>
        <w:t>а,</w:t>
      </w:r>
      <w:r>
        <w:rPr>
          <w:rFonts w:ascii="Open Sans" w:hAnsi="Open Sans"/>
        </w:rPr>
        <w:t xml:space="preserve"> специалитет</w:t>
      </w:r>
      <w:r>
        <w:rPr>
          <w:rFonts w:ascii="Open Sans" w:hAnsi="Open Sans"/>
          <w:sz w:val="24"/>
        </w:rPr>
        <w:t>а</w:t>
      </w:r>
      <w:r>
        <w:rPr>
          <w:rFonts w:ascii="Open Sans" w:hAnsi="Open Sans"/>
        </w:rPr>
        <w:t>, магистратур</w:t>
      </w:r>
      <w:r>
        <w:rPr>
          <w:rFonts w:ascii="Open Sans" w:hAnsi="Open Sans"/>
          <w:sz w:val="24"/>
        </w:rPr>
        <w:t>ы</w:t>
      </w:r>
      <w:r>
        <w:rPr>
          <w:rFonts w:ascii="Open Sans" w:hAnsi="Open Sans"/>
        </w:rPr>
        <w:t>, аспирантур</w:t>
      </w:r>
      <w:r>
        <w:rPr>
          <w:rFonts w:ascii="Open Sans" w:hAnsi="Open Sans"/>
          <w:sz w:val="24"/>
        </w:rPr>
        <w:t xml:space="preserve">ы 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sz w:val="24"/>
        </w:rPr>
        <w:t>осваивают</w:t>
      </w:r>
      <w:r>
        <w:rPr>
          <w:rFonts w:ascii="Open Sans" w:hAnsi="Open Sans"/>
        </w:rPr>
        <w:t xml:space="preserve"> </w:t>
      </w:r>
      <w:r>
        <w:rPr>
          <w:rFonts w:eastAsia="Times New Roman" w:cs="" w:ascii="Open Sans" w:hAnsi="Open Sans" w:cstheme="minorBidi" w:eastAsiaTheme="minorHAnsi"/>
          <w:color w:val="auto"/>
          <w:kern w:val="0"/>
          <w:sz w:val="24"/>
          <w:szCs w:val="22"/>
          <w:lang w:val="ru-RU" w:eastAsia="en-US" w:bidi="ar-SA"/>
        </w:rPr>
        <w:t>более</w:t>
      </w:r>
      <w:r>
        <w:rPr>
          <w:rFonts w:ascii="Open Sans" w:hAnsi="Open Sans"/>
        </w:rPr>
        <w:t xml:space="preserve"> 13100 </w:t>
      </w:r>
      <w:r>
        <w:rPr>
          <w:rFonts w:ascii="Open Sans" w:hAnsi="Open Sans"/>
          <w:sz w:val="24"/>
        </w:rPr>
        <w:t>обучающихся</w:t>
      </w:r>
      <w:r>
        <w:rPr>
          <w:rFonts w:ascii="Open Sans" w:hAnsi="Open Sans"/>
        </w:rPr>
        <w:t xml:space="preserve">. </w:t>
      </w:r>
      <w:r>
        <w:rPr>
          <w:rFonts w:ascii="Open Sans" w:hAnsi="Open Sans"/>
          <w:sz w:val="24"/>
        </w:rPr>
        <w:t>Обучение ведется на</w:t>
      </w:r>
      <w:r>
        <w:rPr>
          <w:rFonts w:ascii="Open Sans" w:hAnsi="Open Sans"/>
        </w:rPr>
        <w:t xml:space="preserve"> 9 программа</w:t>
      </w:r>
      <w:r>
        <w:rPr>
          <w:rFonts w:ascii="Open Sans" w:hAnsi="Open Sans"/>
          <w:sz w:val="24"/>
        </w:rPr>
        <w:t>х</w:t>
      </w:r>
      <w:r>
        <w:rPr>
          <w:rFonts w:ascii="Open Sans" w:hAnsi="Open Sans"/>
        </w:rPr>
        <w:t xml:space="preserve"> среднего профессионального образования, 69 программа</w:t>
      </w:r>
      <w:r>
        <w:rPr>
          <w:rFonts w:ascii="Open Sans" w:hAnsi="Open Sans"/>
          <w:sz w:val="24"/>
        </w:rPr>
        <w:t>х</w:t>
      </w:r>
      <w:r>
        <w:rPr>
          <w:rFonts w:ascii="Open Sans" w:hAnsi="Open Sans"/>
        </w:rPr>
        <w:t xml:space="preserve"> бакалавриата и специалитета, 84 программ</w:t>
      </w:r>
      <w:r>
        <w:rPr>
          <w:rFonts w:ascii="Open Sans" w:hAnsi="Open Sans"/>
          <w:sz w:val="24"/>
        </w:rPr>
        <w:t>ах</w:t>
      </w:r>
      <w:r>
        <w:rPr>
          <w:rFonts w:ascii="Open Sans" w:hAnsi="Open Sans"/>
        </w:rPr>
        <w:t xml:space="preserve"> магистратуры, 22 программ</w:t>
      </w:r>
      <w:r>
        <w:rPr>
          <w:rFonts w:ascii="Open Sans" w:hAnsi="Open Sans"/>
          <w:sz w:val="24"/>
        </w:rPr>
        <w:t>ах</w:t>
      </w:r>
      <w:r>
        <w:rPr>
          <w:rFonts w:ascii="Open Sans" w:hAnsi="Open Sans"/>
        </w:rPr>
        <w:t xml:space="preserve"> аспирантуры.</w:t>
      </w:r>
    </w:p>
    <w:p>
      <w:pPr>
        <w:pStyle w:val="Normal"/>
        <w:spacing w:lineRule="auto" w:line="240"/>
        <w:ind w:hanging="0"/>
        <w:rPr>
          <w:rFonts w:ascii="Open Sans" w:hAnsi="Open Sans"/>
        </w:rPr>
      </w:pPr>
      <w:r>
        <w:rPr>
          <w:rFonts w:eastAsia="Times New Roman" w:cs="" w:ascii="Open Sans" w:hAnsi="Open Sans" w:cstheme="minorBidi" w:eastAsiaTheme="minorHAnsi"/>
          <w:color w:val="auto"/>
          <w:kern w:val="0"/>
          <w:sz w:val="24"/>
          <w:szCs w:val="22"/>
          <w:lang w:val="ru-RU" w:eastAsia="en-US" w:bidi="ar-SA"/>
        </w:rPr>
        <w:t>Учебный процесс обеспечивают</w:t>
      </w:r>
      <w:r>
        <w:rPr>
          <w:rFonts w:ascii="Open Sans" w:hAnsi="Open Sans"/>
        </w:rPr>
        <w:t xml:space="preserve"> более 1200 преподавател</w:t>
      </w:r>
      <w:r>
        <w:rPr>
          <w:rFonts w:ascii="Open Sans" w:hAnsi="Open Sans"/>
          <w:sz w:val="24"/>
        </w:rPr>
        <w:t>ей</w:t>
      </w:r>
      <w:r>
        <w:rPr>
          <w:rFonts w:ascii="Open Sans" w:hAnsi="Open Sans"/>
        </w:rPr>
        <w:t>, из которых 67% имеют ученую степень (более 600 кандидатов наук и 20</w:t>
      </w:r>
      <w:r>
        <w:rPr>
          <w:rFonts w:ascii="Open Sans" w:hAnsi="Open Sans"/>
          <w:sz w:val="24"/>
        </w:rPr>
        <w:t>0</w:t>
      </w:r>
      <w:r>
        <w:rPr>
          <w:rFonts w:ascii="Open Sans" w:hAnsi="Open Sans"/>
        </w:rPr>
        <w:t xml:space="preserve"> доктор</w:t>
      </w:r>
      <w:r>
        <w:rPr>
          <w:rFonts w:ascii="Open Sans" w:hAnsi="Open Sans"/>
          <w:sz w:val="24"/>
        </w:rPr>
        <w:t>ов</w:t>
      </w:r>
      <w:r>
        <w:rPr>
          <w:rFonts w:ascii="Open Sans" w:hAnsi="Open Sans"/>
        </w:rPr>
        <w:t xml:space="preserve"> наук). Пермский университет </w:t>
      </w:r>
      <w:r>
        <w:rPr>
          <w:rFonts w:ascii="Open Sans" w:hAnsi="Open Sans"/>
          <w:sz w:val="24"/>
        </w:rPr>
        <w:t>занимает уверенные позиции</w:t>
      </w:r>
      <w:r>
        <w:rPr>
          <w:rFonts w:ascii="Open Sans" w:hAnsi="Open Sans"/>
        </w:rPr>
        <w:t xml:space="preserve"> в международны</w:t>
      </w:r>
      <w:r>
        <w:rPr>
          <w:rFonts w:ascii="Open Sans" w:hAnsi="Open Sans"/>
          <w:sz w:val="24"/>
        </w:rPr>
        <w:t>х</w:t>
      </w:r>
      <w:r>
        <w:rPr>
          <w:rFonts w:ascii="Open Sans" w:hAnsi="Open Sans"/>
        </w:rPr>
        <w:t xml:space="preserve"> и российских рейтингах: </w:t>
      </w:r>
      <w:r>
        <w:rPr>
          <w:rFonts w:ascii="Open Sans" w:hAnsi="Open Sans"/>
          <w:lang w:val="en-US"/>
        </w:rPr>
        <w:t>QS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lang w:val="en-US"/>
        </w:rPr>
        <w:t>BRICS</w:t>
      </w:r>
      <w:r>
        <w:rPr>
          <w:rFonts w:ascii="Open Sans" w:hAnsi="Open Sans"/>
        </w:rPr>
        <w:t xml:space="preserve">, </w:t>
      </w:r>
      <w:r>
        <w:rPr>
          <w:rFonts w:ascii="Open Sans" w:hAnsi="Open Sans"/>
          <w:lang w:val="en-US"/>
        </w:rPr>
        <w:t>QS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lang w:val="en-US"/>
        </w:rPr>
        <w:t>EECA</w:t>
      </w:r>
      <w:r>
        <w:rPr>
          <w:rFonts w:ascii="Open Sans" w:hAnsi="Open Sans"/>
        </w:rPr>
        <w:t xml:space="preserve">, </w:t>
      </w:r>
      <w:r>
        <w:rPr>
          <w:rFonts w:ascii="Open Sans" w:hAnsi="Open Sans"/>
          <w:lang w:val="en-US"/>
        </w:rPr>
        <w:t>THE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lang w:val="en-US"/>
        </w:rPr>
        <w:t>World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lang w:val="en-US"/>
        </w:rPr>
        <w:t>University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lang w:val="en-US"/>
        </w:rPr>
        <w:t>Rankings</w:t>
      </w:r>
      <w:r>
        <w:rPr>
          <w:rFonts w:ascii="Open Sans" w:hAnsi="Open Sans"/>
        </w:rPr>
        <w:t xml:space="preserve">, </w:t>
      </w:r>
      <w:r>
        <w:rPr>
          <w:rFonts w:ascii="Open Sans" w:hAnsi="Open Sans"/>
          <w:lang w:val="en-US"/>
        </w:rPr>
        <w:t>THE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lang w:val="en-US"/>
        </w:rPr>
        <w:t>Emerging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lang w:val="en-US"/>
        </w:rPr>
        <w:t>Economies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lang w:val="en-US"/>
        </w:rPr>
        <w:t>Rankings</w:t>
      </w:r>
      <w:r>
        <w:rPr>
          <w:rFonts w:ascii="Open Sans" w:hAnsi="Open Sans"/>
        </w:rPr>
        <w:t xml:space="preserve">, </w:t>
      </w:r>
      <w:r>
        <w:rPr>
          <w:rFonts w:ascii="Open Sans" w:hAnsi="Open Sans"/>
          <w:lang w:val="en-US"/>
        </w:rPr>
        <w:t>GreenMetric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lang w:val="en-US"/>
        </w:rPr>
        <w:t>World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lang w:val="en-US"/>
        </w:rPr>
        <w:t>University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lang w:val="en-US"/>
        </w:rPr>
        <w:t>Rankings</w:t>
      </w:r>
      <w:r>
        <w:rPr>
          <w:rFonts w:ascii="Open Sans" w:hAnsi="Open Sans"/>
        </w:rPr>
        <w:t xml:space="preserve"> и других. Согласно рейтингу ИА «Интерфакс», ПГНИУ входит в топ-10 вузов России по качеству образования в 2019 г.</w:t>
      </w:r>
    </w:p>
    <w:p>
      <w:pPr>
        <w:pStyle w:val="Normal"/>
        <w:spacing w:lineRule="auto" w:line="240"/>
        <w:ind w:hanging="0"/>
        <w:rPr>
          <w:rFonts w:ascii="Open Sans" w:hAnsi="Open Sans"/>
        </w:rPr>
      </w:pPr>
      <w:r>
        <w:rPr>
          <w:rFonts w:ascii="Open Sans" w:hAnsi="Open Sans"/>
        </w:rPr>
        <w:t xml:space="preserve">Международная деятельность направлена на укрепление академического сотрудничества с зарубежными университетами в области совместных научных исследований, разработку учебных программ, а также обмен преподавателями, аспирантами и студентами. </w:t>
      </w:r>
      <w:r>
        <w:rPr>
          <w:rFonts w:ascii="Open Sans" w:hAnsi="Open Sans"/>
          <w:sz w:val="24"/>
        </w:rPr>
        <w:t>Наиболее активно</w:t>
      </w:r>
      <w:r>
        <w:rPr>
          <w:rFonts w:ascii="Open Sans" w:hAnsi="Open Sans"/>
        </w:rPr>
        <w:t xml:space="preserve"> вуз сотрудничает с Оксфордским и Манчестер Метрополитан университетами (Великобритания), университетом Люнебурга (Германия), Люблянским университетом (Словения), Луисвиллским университетом (США) и другими. </w:t>
      </w:r>
      <w:r>
        <w:rPr>
          <w:rFonts w:eastAsia="Times New Roman" w:cs="" w:ascii="Open Sans" w:hAnsi="Open Sans" w:cstheme="minorBidi" w:eastAsiaTheme="minorHAnsi"/>
          <w:color w:val="auto"/>
          <w:kern w:val="0"/>
          <w:sz w:val="24"/>
          <w:szCs w:val="22"/>
          <w:lang w:val="ru-RU" w:eastAsia="en-US" w:bidi="ar-SA"/>
        </w:rPr>
        <w:t>По данным на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sz w:val="24"/>
        </w:rPr>
        <w:t>2019 г.,</w:t>
      </w:r>
      <w:r>
        <w:rPr>
          <w:rFonts w:ascii="Open Sans" w:hAnsi="Open Sans"/>
        </w:rPr>
        <w:t xml:space="preserve"> заключено 75 партнерских соглашений с вузами разных стран, а ПГНИУ стал местом обучения более 350 иностранных студентов из Китая, Ирака, Казахстана, Великобритании, Азербайджана, Таджикистана, Узбекистана, Украины, Сенегала и других стран. </w:t>
      </w:r>
    </w:p>
    <w:p>
      <w:pPr>
        <w:pStyle w:val="Normal"/>
        <w:spacing w:lineRule="auto" w:line="240" w:before="0" w:after="160"/>
        <w:ind w:hanging="0"/>
        <w:rPr>
          <w:rFonts w:ascii="Open Sans" w:hAnsi="Open Sans"/>
        </w:rPr>
      </w:pPr>
      <w:r>
        <w:rPr>
          <w:rFonts w:ascii="Open Sans" w:hAnsi="Open Sans"/>
        </w:rPr>
        <w:t>П</w:t>
      </w:r>
      <w:r>
        <w:rPr>
          <w:rFonts w:ascii="Open Sans" w:hAnsi="Open Sans"/>
          <w:sz w:val="24"/>
        </w:rPr>
        <w:t>ГНИУ</w:t>
      </w:r>
      <w:r>
        <w:rPr>
          <w:rFonts w:ascii="Open Sans" w:hAnsi="Open Sans"/>
        </w:rPr>
        <w:t xml:space="preserve"> на сегодняшний день является одним из центров культурной жизни Перми. </w:t>
      </w:r>
      <w:r>
        <w:rPr>
          <w:rFonts w:ascii="Open Sans" w:hAnsi="Open Sans"/>
          <w:sz w:val="24"/>
        </w:rPr>
        <w:t>З</w:t>
      </w:r>
      <w:r>
        <w:rPr>
          <w:rFonts w:ascii="Open Sans" w:hAnsi="Open Sans"/>
        </w:rPr>
        <w:t xml:space="preserve">десь проходят фестивали и открытые лекции, спортивные, </w:t>
      </w:r>
      <w:r>
        <w:rPr>
          <w:rFonts w:ascii="Open Sans" w:hAnsi="Open Sans"/>
          <w:sz w:val="24"/>
        </w:rPr>
        <w:t>культурно-массовые мероприятия</w:t>
      </w:r>
      <w:r>
        <w:rPr>
          <w:rFonts w:ascii="Open Sans" w:hAnsi="Open Sans"/>
        </w:rPr>
        <w:t>. Студенческ</w:t>
      </w:r>
      <w:r>
        <w:rPr>
          <w:rFonts w:ascii="Open Sans" w:hAnsi="Open Sans"/>
          <w:sz w:val="24"/>
        </w:rPr>
        <w:t>им</w:t>
      </w:r>
      <w:r>
        <w:rPr>
          <w:rFonts w:ascii="Open Sans" w:hAnsi="Open Sans"/>
        </w:rPr>
        <w:t xml:space="preserve"> дворц</w:t>
      </w:r>
      <w:r>
        <w:rPr>
          <w:rFonts w:ascii="Open Sans" w:hAnsi="Open Sans"/>
          <w:sz w:val="24"/>
        </w:rPr>
        <w:t>ом</w:t>
      </w:r>
      <w:r>
        <w:rPr>
          <w:rFonts w:ascii="Open Sans" w:hAnsi="Open Sans"/>
        </w:rPr>
        <w:t xml:space="preserve"> культуры ежегодно про</w:t>
      </w:r>
      <w:r>
        <w:rPr>
          <w:rFonts w:ascii="Open Sans" w:hAnsi="Open Sans"/>
          <w:sz w:val="24"/>
        </w:rPr>
        <w:t>водится</w:t>
      </w:r>
      <w:r>
        <w:rPr>
          <w:rFonts w:ascii="Open Sans" w:hAnsi="Open Sans"/>
        </w:rPr>
        <w:t xml:space="preserve"> более 200 мероприятий, которые посещает около 60 тысяч </w:t>
      </w:r>
      <w:r>
        <w:rPr>
          <w:rFonts w:ascii="Open Sans" w:hAnsi="Open Sans"/>
          <w:sz w:val="24"/>
        </w:rPr>
        <w:t>горожан</w:t>
      </w:r>
      <w:r>
        <w:rPr>
          <w:rFonts w:ascii="Open Sans" w:hAnsi="Open Sans"/>
        </w:rPr>
        <w:t xml:space="preserve">. Всего в Первом на Урале действуют 13 творческих коллективов, 16 спортивных секций, а также 17 университетских СМИ, старейшими из которых являются газета «Пермский университет» и «Радио ПГУ». </w:t>
      </w:r>
    </w:p>
    <w:p>
      <w:pPr>
        <w:pStyle w:val="Normal"/>
        <w:spacing w:lineRule="auto" w:line="240" w:before="0" w:after="160"/>
        <w:ind w:hanging="0"/>
        <w:rPr>
          <w:rFonts w:ascii="Open Sans" w:hAnsi="Open Sans"/>
        </w:rPr>
      </w:pPr>
      <w:r>
        <w:rPr>
          <w:rFonts w:eastAsia="Times New Roman" w:cs="" w:ascii="Open Sans" w:hAnsi="Open Sans" w:cstheme="minorBidi" w:eastAsiaTheme="minorHAnsi"/>
          <w:color w:val="auto"/>
          <w:kern w:val="0"/>
          <w:sz w:val="24"/>
          <w:szCs w:val="22"/>
          <w:lang w:val="ru-RU" w:eastAsia="en-US" w:bidi="ar-SA"/>
        </w:rPr>
        <w:t xml:space="preserve">С появлением в 2015 г. Фонда целевого капитала Пермского университета успешно развивается направление фандрайзинга. </w:t>
      </w:r>
      <w:r>
        <w:rPr>
          <w:rFonts w:ascii="Open Sans" w:hAnsi="Open Sans"/>
        </w:rPr>
        <w:t xml:space="preserve">На 1 сентября 2019 г. объем средств составил более 11 млн. руб. Фонд поддерживает инновационные разработки молодых ученых, </w:t>
      </w:r>
      <w:r>
        <w:rPr>
          <w:rFonts w:eastAsia="Times New Roman" w:cs="" w:ascii="Open Sans" w:hAnsi="Open Sans" w:cstheme="minorBidi" w:eastAsiaTheme="minorHAnsi"/>
          <w:color w:val="auto"/>
          <w:kern w:val="0"/>
          <w:sz w:val="24"/>
          <w:szCs w:val="22"/>
          <w:lang w:val="ru-RU" w:eastAsia="en-US" w:bidi="ar-SA"/>
        </w:rPr>
        <w:t>проводит конкурсы</w:t>
      </w:r>
      <w:r>
        <w:rPr>
          <w:rFonts w:ascii="Open Sans" w:hAnsi="Open Sans"/>
        </w:rPr>
        <w:t xml:space="preserve"> стипендий и тревел-грантов для участия в научных мероприятиях. </w:t>
      </w:r>
    </w:p>
    <w:p>
      <w:pPr>
        <w:pStyle w:val="Normal"/>
        <w:spacing w:lineRule="auto" w:line="240" w:before="0" w:after="160"/>
        <w:ind w:hanging="0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"/>
        <w:spacing w:lineRule="auto" w:line="240" w:before="0" w:after="160"/>
        <w:ind w:hanging="0"/>
        <w:rPr>
          <w:rFonts w:ascii="Open Sans" w:hAnsi="Open Sans"/>
        </w:rPr>
      </w:pPr>
      <w:r>
        <w:rPr>
          <w:rFonts w:ascii="Open Sans" w:hAnsi="Open Sans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 San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59cb"/>
    <w:pPr>
      <w:widowControl/>
      <w:bidi w:val="0"/>
      <w:spacing w:lineRule="auto" w:line="259" w:before="0" w:after="160"/>
      <w:ind w:firstLine="709"/>
      <w:jc w:val="both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link w:val="20"/>
    <w:uiPriority w:val="9"/>
    <w:qFormat/>
    <w:rsid w:val="00f72ff4"/>
    <w:pPr>
      <w:spacing w:lineRule="auto" w:line="240" w:beforeAutospacing="1" w:afterAutospacing="1"/>
      <w:ind w:hanging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Знак"/>
    <w:basedOn w:val="DefaultParagraphFont"/>
    <w:link w:val="a3"/>
    <w:qFormat/>
    <w:rsid w:val="005d0e25"/>
    <w:rPr>
      <w:rFonts w:ascii="Times New Roman" w:hAnsi="Times New Roman" w:cs="Times New Roman"/>
      <w:sz w:val="24"/>
    </w:rPr>
  </w:style>
  <w:style w:type="character" w:styleId="Style12">
    <w:name w:val="Интернет-ссылка"/>
    <w:basedOn w:val="DefaultParagraphFont"/>
    <w:uiPriority w:val="99"/>
    <w:unhideWhenUsed/>
    <w:rsid w:val="00f6198b"/>
    <w:rPr>
      <w:color w:val="0000FF"/>
      <w:u w:val="single"/>
    </w:rPr>
  </w:style>
  <w:style w:type="character" w:styleId="Appletabspan" w:customStyle="1">
    <w:name w:val="apple-tab-span"/>
    <w:basedOn w:val="DefaultParagraphFont"/>
    <w:qFormat/>
    <w:rsid w:val="009b4eb2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f72ff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 w:customStyle="1">
    <w:name w:val="Основной"/>
    <w:basedOn w:val="Normal"/>
    <w:link w:val="a4"/>
    <w:qFormat/>
    <w:rsid w:val="005d0e25"/>
    <w:pPr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f6198b"/>
    <w:pPr>
      <w:spacing w:lineRule="auto" w:line="240" w:beforeAutospacing="1" w:afterAutospacing="1"/>
      <w:ind w:hanging="0"/>
      <w:jc w:val="left"/>
    </w:pPr>
    <w:rPr>
      <w:rFonts w:eastAsia="Times New Roman" w:cs="Times New Roman"/>
      <w:szCs w:val="24"/>
      <w:lang w:eastAsia="ru-RU"/>
    </w:rPr>
  </w:style>
  <w:style w:type="paragraph" w:styleId="Style19">
    <w:name w:val="Title"/>
    <w:basedOn w:val="Style13"/>
    <w:next w:val="Style14"/>
    <w:qFormat/>
    <w:pPr>
      <w:jc w:val="center"/>
    </w:pPr>
    <w:rPr>
      <w:b/>
      <w:bCs/>
      <w:sz w:val="56"/>
      <w:szCs w:val="56"/>
    </w:rPr>
  </w:style>
  <w:style w:type="paragraph" w:styleId="Style20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LibreOffice/6.3.0.4$Linux_X86_64 LibreOffice_project/714e3e990d6aa57321bebab01999254e7bc38485</Application>
  <Pages>2</Pages>
  <Words>496</Words>
  <Characters>3607</Characters>
  <CharactersWithSpaces>4095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2019-09-06T16:30:00Z</dcterms:created>
  <dc:creator>Пользователь Windows</dc:creator>
  <dc:description/>
  <dc:language>ru-RU</dc:language>
  <cp:lastModifiedBy/>
  <dcterms:modified xsi:type="dcterms:W3CDTF">2019-09-13T14:45:05Z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